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75F447" w14:textId="77777777" w:rsidR="00A701B9" w:rsidRPr="00854627" w:rsidRDefault="00A701B9" w:rsidP="00A701B9">
      <w:pPr>
        <w:jc w:val="center"/>
        <w:rPr>
          <w:rFonts w:ascii="Arial" w:hAnsi="Arial" w:cs="Arial"/>
          <w:b/>
          <w:bCs/>
        </w:rPr>
      </w:pPr>
      <w:r w:rsidRPr="00854627">
        <w:rPr>
          <w:rFonts w:ascii="Arial" w:hAnsi="Arial" w:cs="Arial"/>
          <w:b/>
          <w:bCs/>
        </w:rPr>
        <w:t>Supplementary Online Content</w:t>
      </w:r>
    </w:p>
    <w:p w14:paraId="4F290BD4" w14:textId="6869435F" w:rsidR="00A701B9" w:rsidRPr="0047703B" w:rsidRDefault="00A701B9" w:rsidP="00A701B9">
      <w:pPr>
        <w:rPr>
          <w:rFonts w:ascii="Arial" w:hAnsi="Arial" w:cs="Arial"/>
          <w:sz w:val="20"/>
          <w:szCs w:val="20"/>
        </w:rPr>
      </w:pPr>
    </w:p>
    <w:p w14:paraId="65DF8C6D" w14:textId="21385334" w:rsidR="0047703B" w:rsidRPr="0047703B" w:rsidRDefault="0047703B" w:rsidP="0047703B">
      <w:pPr>
        <w:rPr>
          <w:rFonts w:ascii="Arial" w:hAnsi="Arial" w:cs="Arial"/>
          <w:b/>
          <w:bCs/>
        </w:rPr>
      </w:pPr>
      <w:r w:rsidRPr="0047703B">
        <w:rPr>
          <w:rFonts w:ascii="Arial" w:hAnsi="Arial" w:cs="Arial"/>
          <w:b/>
          <w:bCs/>
        </w:rPr>
        <w:t xml:space="preserve">The potential long-term comparative effectiveness of larotrectinib vs. </w:t>
      </w:r>
      <w:r w:rsidR="009B33F7">
        <w:rPr>
          <w:rFonts w:ascii="Arial" w:hAnsi="Arial" w:cs="Arial"/>
          <w:b/>
          <w:bCs/>
        </w:rPr>
        <w:t>entrectinib</w:t>
      </w:r>
      <w:r w:rsidRPr="0047703B">
        <w:rPr>
          <w:rFonts w:ascii="Arial" w:hAnsi="Arial" w:cs="Arial"/>
          <w:b/>
          <w:bCs/>
        </w:rPr>
        <w:t xml:space="preserve"> for treatment of metastatic </w:t>
      </w:r>
      <w:r w:rsidR="009B33F7">
        <w:rPr>
          <w:rFonts w:ascii="Arial" w:hAnsi="Arial" w:cs="Arial"/>
          <w:b/>
          <w:bCs/>
        </w:rPr>
        <w:t>N</w:t>
      </w:r>
      <w:r w:rsidRPr="0047703B">
        <w:rPr>
          <w:rFonts w:ascii="Arial" w:hAnsi="Arial" w:cs="Arial"/>
          <w:b/>
          <w:bCs/>
        </w:rPr>
        <w:t xml:space="preserve">TRK fusion </w:t>
      </w:r>
      <w:r w:rsidR="009B33F7">
        <w:rPr>
          <w:rFonts w:ascii="Arial" w:hAnsi="Arial" w:cs="Arial"/>
          <w:b/>
          <w:bCs/>
        </w:rPr>
        <w:t>colorectal cancer, soft tissue sarcoma, and baseline brain metastasis</w:t>
      </w:r>
    </w:p>
    <w:p w14:paraId="231545CF" w14:textId="77777777" w:rsidR="00BB2D2E" w:rsidRDefault="00BB2D2E" w:rsidP="00A701B9">
      <w:pPr>
        <w:rPr>
          <w:rFonts w:ascii="Arial" w:hAnsi="Arial" w:cs="Arial"/>
          <w:vertAlign w:val="superscript"/>
        </w:rPr>
      </w:pPr>
    </w:p>
    <w:p w14:paraId="79E1E151" w14:textId="63F4029E" w:rsidR="00A701B9" w:rsidRDefault="00A701B9" w:rsidP="00A701B9">
      <w:pPr>
        <w:rPr>
          <w:rFonts w:ascii="Arial" w:hAnsi="Arial" w:cs="Arial"/>
          <w:sz w:val="20"/>
          <w:szCs w:val="20"/>
        </w:rPr>
      </w:pPr>
      <w:proofErr w:type="spellStart"/>
      <w:r w:rsidRPr="0047703B">
        <w:rPr>
          <w:rFonts w:ascii="Arial" w:hAnsi="Arial" w:cs="Arial"/>
          <w:sz w:val="20"/>
          <w:szCs w:val="20"/>
        </w:rPr>
        <w:t>e</w:t>
      </w:r>
      <w:r w:rsidR="0047703B">
        <w:rPr>
          <w:rFonts w:ascii="Arial" w:hAnsi="Arial" w:cs="Arial"/>
          <w:sz w:val="20"/>
          <w:szCs w:val="20"/>
        </w:rPr>
        <w:t>Figure</w:t>
      </w:r>
      <w:proofErr w:type="spellEnd"/>
      <w:r w:rsidRPr="0047703B">
        <w:rPr>
          <w:rFonts w:ascii="Arial" w:hAnsi="Arial" w:cs="Arial"/>
          <w:sz w:val="20"/>
          <w:szCs w:val="20"/>
        </w:rPr>
        <w:t xml:space="preserve"> 1. </w:t>
      </w:r>
      <w:r w:rsidR="0047703B">
        <w:rPr>
          <w:rFonts w:ascii="Arial" w:hAnsi="Arial" w:cs="Arial"/>
          <w:sz w:val="20"/>
          <w:szCs w:val="20"/>
        </w:rPr>
        <w:t xml:space="preserve">One-way sensitivity analysis for larotrectinib vs. </w:t>
      </w:r>
      <w:r w:rsidR="009A5359">
        <w:rPr>
          <w:rFonts w:ascii="Arial" w:hAnsi="Arial" w:cs="Arial"/>
          <w:sz w:val="20"/>
          <w:szCs w:val="20"/>
        </w:rPr>
        <w:t>entrectinib</w:t>
      </w:r>
      <w:r w:rsidR="0047703B">
        <w:rPr>
          <w:rFonts w:ascii="Arial" w:hAnsi="Arial" w:cs="Arial"/>
          <w:sz w:val="20"/>
          <w:szCs w:val="20"/>
        </w:rPr>
        <w:t xml:space="preserve"> on QALYs gained</w:t>
      </w:r>
      <w:r w:rsidR="009A5359">
        <w:rPr>
          <w:rFonts w:ascii="Arial" w:hAnsi="Arial" w:cs="Arial"/>
          <w:sz w:val="20"/>
          <w:szCs w:val="20"/>
        </w:rPr>
        <w:t xml:space="preserve"> in colorectal cancer</w:t>
      </w:r>
    </w:p>
    <w:p w14:paraId="3761A12D" w14:textId="6FEB5A20" w:rsidR="0047703B" w:rsidRDefault="0047703B" w:rsidP="0047703B">
      <w:pPr>
        <w:rPr>
          <w:rFonts w:ascii="Arial" w:hAnsi="Arial" w:cs="Arial"/>
          <w:sz w:val="20"/>
          <w:szCs w:val="20"/>
        </w:rPr>
      </w:pPr>
      <w:proofErr w:type="spellStart"/>
      <w:r w:rsidRPr="0047703B">
        <w:rPr>
          <w:rFonts w:ascii="Arial" w:hAnsi="Arial" w:cs="Arial"/>
          <w:sz w:val="20"/>
          <w:szCs w:val="20"/>
        </w:rPr>
        <w:t>e</w:t>
      </w:r>
      <w:r>
        <w:rPr>
          <w:rFonts w:ascii="Arial" w:hAnsi="Arial" w:cs="Arial"/>
          <w:sz w:val="20"/>
          <w:szCs w:val="20"/>
        </w:rPr>
        <w:t>Figure</w:t>
      </w:r>
      <w:proofErr w:type="spellEnd"/>
      <w:r w:rsidRPr="0047703B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2</w:t>
      </w:r>
      <w:r w:rsidRPr="0047703B">
        <w:rPr>
          <w:rFonts w:ascii="Arial" w:hAnsi="Arial" w:cs="Arial"/>
          <w:sz w:val="20"/>
          <w:szCs w:val="20"/>
        </w:rPr>
        <w:t xml:space="preserve">. </w:t>
      </w:r>
      <w:r>
        <w:rPr>
          <w:rFonts w:ascii="Arial" w:hAnsi="Arial" w:cs="Arial"/>
          <w:sz w:val="20"/>
          <w:szCs w:val="20"/>
        </w:rPr>
        <w:t xml:space="preserve">One-way sensitivity analysis for larotrectinib vs. </w:t>
      </w:r>
      <w:r w:rsidR="009A5359">
        <w:rPr>
          <w:rFonts w:ascii="Arial" w:hAnsi="Arial" w:cs="Arial"/>
          <w:sz w:val="20"/>
          <w:szCs w:val="20"/>
        </w:rPr>
        <w:t>entrectinib</w:t>
      </w:r>
      <w:r w:rsidRPr="0047703B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on QALYs gained</w:t>
      </w:r>
      <w:r w:rsidR="009A5359">
        <w:rPr>
          <w:rFonts w:ascii="Arial" w:hAnsi="Arial" w:cs="Arial"/>
          <w:sz w:val="20"/>
          <w:szCs w:val="20"/>
        </w:rPr>
        <w:t xml:space="preserve"> in soft tissue sarcoma</w:t>
      </w:r>
    </w:p>
    <w:p w14:paraId="06A571AA" w14:textId="41EA852E" w:rsidR="0047703B" w:rsidRDefault="0047703B" w:rsidP="0047703B">
      <w:pPr>
        <w:rPr>
          <w:rFonts w:ascii="Arial" w:hAnsi="Arial" w:cs="Arial"/>
          <w:sz w:val="20"/>
          <w:szCs w:val="20"/>
        </w:rPr>
      </w:pPr>
      <w:proofErr w:type="spellStart"/>
      <w:r w:rsidRPr="0047703B">
        <w:rPr>
          <w:rFonts w:ascii="Arial" w:hAnsi="Arial" w:cs="Arial"/>
          <w:sz w:val="20"/>
          <w:szCs w:val="20"/>
        </w:rPr>
        <w:t>e</w:t>
      </w:r>
      <w:r w:rsidR="009A5359">
        <w:rPr>
          <w:rFonts w:ascii="Arial" w:hAnsi="Arial" w:cs="Arial"/>
          <w:sz w:val="20"/>
          <w:szCs w:val="20"/>
        </w:rPr>
        <w:t>Table</w:t>
      </w:r>
      <w:proofErr w:type="spellEnd"/>
      <w:r w:rsidR="009A5359">
        <w:rPr>
          <w:rFonts w:ascii="Arial" w:hAnsi="Arial" w:cs="Arial"/>
          <w:sz w:val="20"/>
          <w:szCs w:val="20"/>
        </w:rPr>
        <w:t xml:space="preserve"> 1</w:t>
      </w:r>
      <w:r w:rsidRPr="0047703B">
        <w:rPr>
          <w:rFonts w:ascii="Arial" w:hAnsi="Arial" w:cs="Arial"/>
          <w:sz w:val="20"/>
          <w:szCs w:val="20"/>
        </w:rPr>
        <w:t xml:space="preserve">. </w:t>
      </w:r>
      <w:r w:rsidR="009A5359">
        <w:rPr>
          <w:rFonts w:ascii="Arial" w:hAnsi="Arial" w:cs="Arial"/>
          <w:sz w:val="20"/>
          <w:szCs w:val="20"/>
        </w:rPr>
        <w:t>S</w:t>
      </w:r>
      <w:r>
        <w:rPr>
          <w:rFonts w:ascii="Arial" w:hAnsi="Arial" w:cs="Arial"/>
          <w:sz w:val="20"/>
          <w:szCs w:val="20"/>
        </w:rPr>
        <w:t>ensitivity analysis</w:t>
      </w:r>
      <w:r w:rsidR="009A5359">
        <w:rPr>
          <w:rFonts w:ascii="Arial" w:hAnsi="Arial" w:cs="Arial"/>
          <w:sz w:val="20"/>
          <w:szCs w:val="20"/>
        </w:rPr>
        <w:t xml:space="preserve"> fitting an exponential curve through the median points</w:t>
      </w:r>
      <w:r>
        <w:rPr>
          <w:rFonts w:ascii="Arial" w:hAnsi="Arial" w:cs="Arial"/>
          <w:sz w:val="20"/>
          <w:szCs w:val="20"/>
        </w:rPr>
        <w:t xml:space="preserve"> for </w:t>
      </w:r>
      <w:r w:rsidR="009A5359">
        <w:rPr>
          <w:rFonts w:ascii="Arial" w:hAnsi="Arial" w:cs="Arial"/>
          <w:sz w:val="20"/>
          <w:szCs w:val="20"/>
        </w:rPr>
        <w:t xml:space="preserve">progression-free and overall survival for entrectinib </w:t>
      </w:r>
    </w:p>
    <w:p w14:paraId="333AC117" w14:textId="77777777" w:rsidR="008A0A40" w:rsidRPr="0047703B" w:rsidRDefault="008A0A40" w:rsidP="00A701B9">
      <w:pPr>
        <w:rPr>
          <w:rFonts w:ascii="Arial" w:hAnsi="Arial" w:cs="Arial"/>
          <w:b/>
          <w:bCs/>
          <w:sz w:val="20"/>
          <w:szCs w:val="20"/>
        </w:rPr>
      </w:pPr>
    </w:p>
    <w:p w14:paraId="19F7CFAA" w14:textId="77777777" w:rsidR="001A5EF5" w:rsidRPr="0047703B" w:rsidRDefault="001A5EF5" w:rsidP="00A701B9">
      <w:pPr>
        <w:rPr>
          <w:rFonts w:ascii="Arial" w:hAnsi="Arial" w:cs="Arial"/>
          <w:sz w:val="20"/>
          <w:szCs w:val="20"/>
        </w:rPr>
        <w:sectPr w:rsidR="001A5EF5" w:rsidRPr="0047703B"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14:paraId="0F6F1133" w14:textId="72AF3FFF" w:rsidR="00450037" w:rsidRDefault="00E36361" w:rsidP="00A701B9">
      <w:pPr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lastRenderedPageBreak/>
        <w:t>eFigure</w:t>
      </w:r>
      <w:proofErr w:type="spellEnd"/>
      <w:r>
        <w:rPr>
          <w:rFonts w:ascii="Arial" w:hAnsi="Arial" w:cs="Arial"/>
        </w:rPr>
        <w:t xml:space="preserve"> 1</w:t>
      </w:r>
      <w:r w:rsidRPr="007E224F">
        <w:rPr>
          <w:rFonts w:ascii="Arial" w:hAnsi="Arial" w:cs="Arial"/>
          <w:sz w:val="24"/>
          <w:szCs w:val="24"/>
        </w:rPr>
        <w:t xml:space="preserve">. </w:t>
      </w:r>
      <w:r w:rsidR="007E224F" w:rsidRPr="007E224F">
        <w:rPr>
          <w:rFonts w:ascii="Arial" w:hAnsi="Arial" w:cs="Arial"/>
        </w:rPr>
        <w:t>One-way sensitivity analysis for larotrectinib vs. entrectinib on QALYs gained in colorectal cancer</w:t>
      </w:r>
      <w:r>
        <w:rPr>
          <w:rFonts w:ascii="Arial" w:hAnsi="Arial" w:cs="Arial"/>
        </w:rPr>
        <w:br/>
      </w:r>
      <w:r w:rsidR="007E224F">
        <w:rPr>
          <w:noProof/>
        </w:rPr>
        <w:drawing>
          <wp:inline distT="0" distB="0" distL="0" distR="0" wp14:anchorId="48371771" wp14:editId="3E474C9F">
            <wp:extent cx="5943600" cy="1885315"/>
            <wp:effectExtent l="0" t="0" r="0" b="63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8853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744FB4E" w14:textId="501B404A" w:rsidR="00E36361" w:rsidRDefault="00E36361" w:rsidP="00A701B9">
      <w:pPr>
        <w:rPr>
          <w:rFonts w:ascii="Arial" w:hAnsi="Arial" w:cs="Arial"/>
        </w:rPr>
      </w:pPr>
    </w:p>
    <w:p w14:paraId="407E2795" w14:textId="42C14AA8" w:rsidR="00E36361" w:rsidRDefault="00E36361">
      <w:pPr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14:paraId="0C59EC78" w14:textId="0B6D8C4A" w:rsidR="00E36361" w:rsidRPr="007E224F" w:rsidRDefault="00E36361" w:rsidP="00E36361">
      <w:pPr>
        <w:rPr>
          <w:rFonts w:ascii="Arial" w:hAnsi="Arial" w:cs="Arial"/>
          <w:sz w:val="24"/>
          <w:szCs w:val="24"/>
        </w:rPr>
      </w:pPr>
      <w:proofErr w:type="spellStart"/>
      <w:r w:rsidRPr="007E224F">
        <w:rPr>
          <w:rFonts w:ascii="Arial" w:hAnsi="Arial" w:cs="Arial"/>
          <w:sz w:val="24"/>
          <w:szCs w:val="24"/>
        </w:rPr>
        <w:lastRenderedPageBreak/>
        <w:t>eFigure</w:t>
      </w:r>
      <w:proofErr w:type="spellEnd"/>
      <w:r w:rsidRPr="007E224F">
        <w:rPr>
          <w:rFonts w:ascii="Arial" w:hAnsi="Arial" w:cs="Arial"/>
          <w:sz w:val="24"/>
          <w:szCs w:val="24"/>
        </w:rPr>
        <w:t xml:space="preserve"> 2. </w:t>
      </w:r>
      <w:r w:rsidR="007E224F" w:rsidRPr="007E224F">
        <w:rPr>
          <w:rFonts w:ascii="Arial" w:hAnsi="Arial" w:cs="Arial"/>
        </w:rPr>
        <w:t xml:space="preserve">One-way sensitivity analysis for larotrectinib vs. entrectinib on QALYs gained in soft </w:t>
      </w:r>
      <w:r w:rsidR="007E224F" w:rsidRPr="007E224F">
        <w:rPr>
          <w:rFonts w:ascii="Arial" w:hAnsi="Arial" w:cs="Arial"/>
          <w:sz w:val="24"/>
          <w:szCs w:val="24"/>
        </w:rPr>
        <w:t>tissue sarcoma</w:t>
      </w:r>
      <w:r w:rsidRPr="007E224F">
        <w:rPr>
          <w:rFonts w:ascii="Arial" w:hAnsi="Arial" w:cs="Arial"/>
          <w:sz w:val="24"/>
          <w:szCs w:val="24"/>
        </w:rPr>
        <w:br/>
      </w:r>
      <w:r w:rsidR="007E224F" w:rsidRPr="007E224F">
        <w:rPr>
          <w:noProof/>
          <w:sz w:val="24"/>
          <w:szCs w:val="24"/>
        </w:rPr>
        <w:drawing>
          <wp:inline distT="0" distB="0" distL="0" distR="0" wp14:anchorId="04ABAC5B" wp14:editId="2C297154">
            <wp:extent cx="5943600" cy="1867535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8675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E8F6665" w14:textId="1E5800B8" w:rsidR="00E36361" w:rsidRPr="007E224F" w:rsidRDefault="00E36361">
      <w:pPr>
        <w:rPr>
          <w:rFonts w:ascii="Arial" w:hAnsi="Arial" w:cs="Arial"/>
          <w:sz w:val="24"/>
          <w:szCs w:val="24"/>
        </w:rPr>
      </w:pPr>
      <w:r w:rsidRPr="007E224F">
        <w:rPr>
          <w:rFonts w:ascii="Arial" w:hAnsi="Arial" w:cs="Arial"/>
          <w:sz w:val="24"/>
          <w:szCs w:val="24"/>
        </w:rPr>
        <w:br w:type="page"/>
      </w:r>
    </w:p>
    <w:p w14:paraId="23CFD1B7" w14:textId="76AD1F16" w:rsidR="007E224F" w:rsidRPr="007E224F" w:rsidRDefault="007E224F" w:rsidP="007E224F">
      <w:pPr>
        <w:spacing w:after="0" w:line="240" w:lineRule="auto"/>
        <w:rPr>
          <w:rFonts w:ascii="Arial" w:hAnsi="Arial" w:cs="Arial"/>
        </w:rPr>
      </w:pPr>
      <w:proofErr w:type="spellStart"/>
      <w:r w:rsidRPr="007E224F">
        <w:rPr>
          <w:rFonts w:ascii="Arial" w:hAnsi="Arial" w:cs="Arial"/>
        </w:rPr>
        <w:lastRenderedPageBreak/>
        <w:t>eTable</w:t>
      </w:r>
      <w:proofErr w:type="spellEnd"/>
      <w:r w:rsidRPr="007E224F">
        <w:rPr>
          <w:rFonts w:ascii="Arial" w:hAnsi="Arial" w:cs="Arial"/>
        </w:rPr>
        <w:t xml:space="preserve"> 1. Sensitivity analysis fitting an exponential curve through the median points for progression-free and overall survival for entrectinib </w:t>
      </w:r>
    </w:p>
    <w:tbl>
      <w:tblPr>
        <w:tblStyle w:val="TableGrid"/>
        <w:tblW w:w="0" w:type="auto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16"/>
        <w:gridCol w:w="3117"/>
        <w:gridCol w:w="3117"/>
      </w:tblGrid>
      <w:tr w:rsidR="007E224F" w14:paraId="37754419" w14:textId="77777777" w:rsidTr="002E0F62">
        <w:tc>
          <w:tcPr>
            <w:tcW w:w="3116" w:type="dxa"/>
          </w:tcPr>
          <w:p w14:paraId="7D184BFF" w14:textId="77777777" w:rsidR="007E224F" w:rsidRDefault="007E224F" w:rsidP="00E36361">
            <w:pPr>
              <w:rPr>
                <w:rFonts w:cs="Arial"/>
              </w:rPr>
            </w:pPr>
          </w:p>
        </w:tc>
        <w:tc>
          <w:tcPr>
            <w:tcW w:w="311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8287ADC" w14:textId="49B6A78F" w:rsidR="007E224F" w:rsidRPr="002E0F62" w:rsidRDefault="007E224F" w:rsidP="002E0F62">
            <w:pPr>
              <w:jc w:val="right"/>
              <w:rPr>
                <w:rFonts w:cs="Arial"/>
                <w:b/>
                <w:bCs/>
              </w:rPr>
            </w:pPr>
            <w:r w:rsidRPr="002E0F62">
              <w:rPr>
                <w:rFonts w:cs="Arial"/>
                <w:b/>
                <w:bCs/>
              </w:rPr>
              <w:t>Colorectal cancer</w:t>
            </w:r>
          </w:p>
        </w:tc>
        <w:tc>
          <w:tcPr>
            <w:tcW w:w="311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3FE2243" w14:textId="2EF539B2" w:rsidR="007E224F" w:rsidRPr="002E0F62" w:rsidRDefault="007E224F" w:rsidP="002E0F62">
            <w:pPr>
              <w:jc w:val="right"/>
              <w:rPr>
                <w:rFonts w:cs="Arial"/>
                <w:b/>
                <w:bCs/>
              </w:rPr>
            </w:pPr>
            <w:r w:rsidRPr="002E0F62">
              <w:rPr>
                <w:rFonts w:cs="Arial"/>
                <w:b/>
                <w:bCs/>
              </w:rPr>
              <w:t>Soft tissue sarcoma</w:t>
            </w:r>
          </w:p>
        </w:tc>
      </w:tr>
      <w:tr w:rsidR="007E224F" w14:paraId="4B730A67" w14:textId="77777777" w:rsidTr="002E0F62">
        <w:tc>
          <w:tcPr>
            <w:tcW w:w="3116" w:type="dxa"/>
          </w:tcPr>
          <w:p w14:paraId="28C2522B" w14:textId="52C0A385" w:rsidR="007E224F" w:rsidRDefault="007E224F" w:rsidP="00E36361">
            <w:pPr>
              <w:rPr>
                <w:rFonts w:cs="Arial"/>
              </w:rPr>
            </w:pPr>
            <w:r>
              <w:rPr>
                <w:rFonts w:cs="Arial"/>
              </w:rPr>
              <w:t>Progression-free life-years</w:t>
            </w:r>
          </w:p>
        </w:tc>
        <w:tc>
          <w:tcPr>
            <w:tcW w:w="3117" w:type="dxa"/>
            <w:tcBorders>
              <w:top w:val="single" w:sz="4" w:space="0" w:color="auto"/>
            </w:tcBorders>
            <w:vAlign w:val="center"/>
          </w:tcPr>
          <w:p w14:paraId="41D7025B" w14:textId="4DCC2F84" w:rsidR="007E224F" w:rsidRDefault="007E224F" w:rsidP="002E0F62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0.29</w:t>
            </w:r>
          </w:p>
        </w:tc>
        <w:tc>
          <w:tcPr>
            <w:tcW w:w="3117" w:type="dxa"/>
            <w:tcBorders>
              <w:top w:val="single" w:sz="4" w:space="0" w:color="auto"/>
            </w:tcBorders>
            <w:vAlign w:val="center"/>
          </w:tcPr>
          <w:p w14:paraId="70822284" w14:textId="0F8DCD17" w:rsidR="007E224F" w:rsidRDefault="007E224F" w:rsidP="002E0F62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1.19</w:t>
            </w:r>
          </w:p>
        </w:tc>
      </w:tr>
      <w:tr w:rsidR="007E224F" w14:paraId="767F39C9" w14:textId="77777777" w:rsidTr="002E0F62">
        <w:tc>
          <w:tcPr>
            <w:tcW w:w="3116" w:type="dxa"/>
          </w:tcPr>
          <w:p w14:paraId="1762F35A" w14:textId="0556A2EE" w:rsidR="007E224F" w:rsidRDefault="007E224F" w:rsidP="00E36361">
            <w:pPr>
              <w:rPr>
                <w:rFonts w:cs="Arial"/>
              </w:rPr>
            </w:pPr>
            <w:r>
              <w:rPr>
                <w:rFonts w:cs="Arial"/>
              </w:rPr>
              <w:t>Post progression life-years</w:t>
            </w:r>
          </w:p>
        </w:tc>
        <w:tc>
          <w:tcPr>
            <w:tcW w:w="3117" w:type="dxa"/>
            <w:vAlign w:val="center"/>
          </w:tcPr>
          <w:p w14:paraId="4A1E86AE" w14:textId="03F88816" w:rsidR="007E224F" w:rsidRDefault="007E224F" w:rsidP="002E0F62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1.56</w:t>
            </w:r>
          </w:p>
        </w:tc>
        <w:tc>
          <w:tcPr>
            <w:tcW w:w="3117" w:type="dxa"/>
            <w:vAlign w:val="center"/>
          </w:tcPr>
          <w:p w14:paraId="1021A9E4" w14:textId="38B04C60" w:rsidR="007E224F" w:rsidRDefault="007E224F" w:rsidP="002E0F62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0.75</w:t>
            </w:r>
          </w:p>
        </w:tc>
      </w:tr>
      <w:tr w:rsidR="007E224F" w14:paraId="178A3569" w14:textId="77777777" w:rsidTr="002E0F62">
        <w:tc>
          <w:tcPr>
            <w:tcW w:w="3116" w:type="dxa"/>
          </w:tcPr>
          <w:p w14:paraId="09D8C970" w14:textId="0DA5EC42" w:rsidR="007E224F" w:rsidRDefault="007E224F" w:rsidP="00E36361">
            <w:pPr>
              <w:rPr>
                <w:rFonts w:cs="Arial"/>
              </w:rPr>
            </w:pPr>
            <w:r>
              <w:rPr>
                <w:rFonts w:cs="Arial"/>
              </w:rPr>
              <w:t>Total</w:t>
            </w:r>
          </w:p>
        </w:tc>
        <w:tc>
          <w:tcPr>
            <w:tcW w:w="3117" w:type="dxa"/>
            <w:vAlign w:val="center"/>
          </w:tcPr>
          <w:p w14:paraId="5CB47313" w14:textId="4A685163" w:rsidR="007E224F" w:rsidRDefault="007E224F" w:rsidP="002E0F62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1.85</w:t>
            </w:r>
          </w:p>
        </w:tc>
        <w:tc>
          <w:tcPr>
            <w:tcW w:w="3117" w:type="dxa"/>
            <w:vAlign w:val="center"/>
          </w:tcPr>
          <w:p w14:paraId="11AF923F" w14:textId="4A6E649D" w:rsidR="007E224F" w:rsidRDefault="007E224F" w:rsidP="002E0F62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1.93</w:t>
            </w:r>
          </w:p>
        </w:tc>
      </w:tr>
      <w:tr w:rsidR="007E224F" w14:paraId="11FAA850" w14:textId="77777777" w:rsidTr="002E0F62">
        <w:tc>
          <w:tcPr>
            <w:tcW w:w="3116" w:type="dxa"/>
          </w:tcPr>
          <w:p w14:paraId="2C2FAB4D" w14:textId="77777777" w:rsidR="007E224F" w:rsidRDefault="007E224F" w:rsidP="00E36361">
            <w:pPr>
              <w:rPr>
                <w:rFonts w:cs="Arial"/>
              </w:rPr>
            </w:pPr>
          </w:p>
        </w:tc>
        <w:tc>
          <w:tcPr>
            <w:tcW w:w="3117" w:type="dxa"/>
            <w:vAlign w:val="center"/>
          </w:tcPr>
          <w:p w14:paraId="3BCB7E9E" w14:textId="77777777" w:rsidR="007E224F" w:rsidRDefault="007E224F" w:rsidP="002E0F62">
            <w:pPr>
              <w:jc w:val="right"/>
              <w:rPr>
                <w:rFonts w:cs="Arial"/>
              </w:rPr>
            </w:pPr>
          </w:p>
        </w:tc>
        <w:tc>
          <w:tcPr>
            <w:tcW w:w="3117" w:type="dxa"/>
            <w:vAlign w:val="center"/>
          </w:tcPr>
          <w:p w14:paraId="08C53E7B" w14:textId="77777777" w:rsidR="007E224F" w:rsidRDefault="007E224F" w:rsidP="002E0F62">
            <w:pPr>
              <w:jc w:val="right"/>
              <w:rPr>
                <w:rFonts w:cs="Arial"/>
              </w:rPr>
            </w:pPr>
          </w:p>
        </w:tc>
      </w:tr>
      <w:tr w:rsidR="007E224F" w14:paraId="2681C5E9" w14:textId="77777777" w:rsidTr="002E0F62">
        <w:tc>
          <w:tcPr>
            <w:tcW w:w="3116" w:type="dxa"/>
          </w:tcPr>
          <w:p w14:paraId="5817BE4E" w14:textId="0CAFA47E" w:rsidR="007E224F" w:rsidRDefault="007E224F" w:rsidP="00E36361">
            <w:pPr>
              <w:rPr>
                <w:rFonts w:cs="Arial"/>
              </w:rPr>
            </w:pPr>
            <w:r>
              <w:rPr>
                <w:rFonts w:cs="Arial"/>
              </w:rPr>
              <w:t>Progression-free QALYs</w:t>
            </w:r>
          </w:p>
        </w:tc>
        <w:tc>
          <w:tcPr>
            <w:tcW w:w="3117" w:type="dxa"/>
            <w:vAlign w:val="center"/>
          </w:tcPr>
          <w:p w14:paraId="21ECADD9" w14:textId="460C4226" w:rsidR="007E224F" w:rsidRDefault="007E224F" w:rsidP="002E0F62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0.24</w:t>
            </w:r>
          </w:p>
        </w:tc>
        <w:tc>
          <w:tcPr>
            <w:tcW w:w="3117" w:type="dxa"/>
            <w:vAlign w:val="center"/>
          </w:tcPr>
          <w:p w14:paraId="0FD62CCF" w14:textId="05E6EE3E" w:rsidR="007E224F" w:rsidRDefault="002E0F62" w:rsidP="002E0F62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0.59</w:t>
            </w:r>
          </w:p>
        </w:tc>
      </w:tr>
      <w:tr w:rsidR="007E224F" w14:paraId="588BE9CE" w14:textId="77777777" w:rsidTr="002E0F62">
        <w:tc>
          <w:tcPr>
            <w:tcW w:w="3116" w:type="dxa"/>
          </w:tcPr>
          <w:p w14:paraId="5B9244C6" w14:textId="5AC606C4" w:rsidR="007E224F" w:rsidRDefault="007E224F" w:rsidP="00E36361">
            <w:pPr>
              <w:rPr>
                <w:rFonts w:cs="Arial"/>
              </w:rPr>
            </w:pPr>
            <w:r>
              <w:rPr>
                <w:rFonts w:cs="Arial"/>
              </w:rPr>
              <w:t>Post progression QALYs</w:t>
            </w:r>
          </w:p>
        </w:tc>
        <w:tc>
          <w:tcPr>
            <w:tcW w:w="3117" w:type="dxa"/>
            <w:vAlign w:val="center"/>
          </w:tcPr>
          <w:p w14:paraId="15654490" w14:textId="1152D75E" w:rsidR="007E224F" w:rsidRDefault="007E224F" w:rsidP="002E0F62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1.00</w:t>
            </w:r>
          </w:p>
        </w:tc>
        <w:tc>
          <w:tcPr>
            <w:tcW w:w="3117" w:type="dxa"/>
            <w:vAlign w:val="center"/>
          </w:tcPr>
          <w:p w14:paraId="6903F99D" w14:textId="772B4133" w:rsidR="007E224F" w:rsidRDefault="002E0F62" w:rsidP="002E0F62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0.22</w:t>
            </w:r>
          </w:p>
        </w:tc>
      </w:tr>
      <w:tr w:rsidR="007E224F" w14:paraId="3CAAD2BA" w14:textId="77777777" w:rsidTr="002E0F62">
        <w:tc>
          <w:tcPr>
            <w:tcW w:w="3116" w:type="dxa"/>
          </w:tcPr>
          <w:p w14:paraId="0A9561A6" w14:textId="549E18B4" w:rsidR="007E224F" w:rsidRDefault="007E224F" w:rsidP="00E36361">
            <w:pPr>
              <w:rPr>
                <w:rFonts w:cs="Arial"/>
              </w:rPr>
            </w:pPr>
            <w:r>
              <w:rPr>
                <w:rFonts w:cs="Arial"/>
              </w:rPr>
              <w:t>Total</w:t>
            </w:r>
          </w:p>
        </w:tc>
        <w:tc>
          <w:tcPr>
            <w:tcW w:w="3117" w:type="dxa"/>
            <w:vAlign w:val="center"/>
          </w:tcPr>
          <w:p w14:paraId="1FCFE0AB" w14:textId="40074EF3" w:rsidR="007E224F" w:rsidRDefault="007E224F" w:rsidP="002E0F62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1.24</w:t>
            </w:r>
          </w:p>
        </w:tc>
        <w:tc>
          <w:tcPr>
            <w:tcW w:w="3117" w:type="dxa"/>
            <w:vAlign w:val="center"/>
          </w:tcPr>
          <w:p w14:paraId="04EABEEA" w14:textId="496575F6" w:rsidR="007E224F" w:rsidRDefault="002E0F62" w:rsidP="002E0F62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0.82</w:t>
            </w:r>
          </w:p>
        </w:tc>
      </w:tr>
    </w:tbl>
    <w:p w14:paraId="3050CE2A" w14:textId="30D0D57F" w:rsidR="00E36361" w:rsidRPr="00E36361" w:rsidRDefault="002E0F62" w:rsidP="00E36361">
      <w:pPr>
        <w:rPr>
          <w:rFonts w:ascii="Arial" w:hAnsi="Arial" w:cs="Arial"/>
        </w:rPr>
      </w:pPr>
      <w:r>
        <w:rPr>
          <w:sz w:val="16"/>
          <w:szCs w:val="16"/>
        </w:rPr>
        <w:t>QALY: quality-adjust life-year</w:t>
      </w:r>
    </w:p>
    <w:p w14:paraId="67857450" w14:textId="77777777" w:rsidR="00E36361" w:rsidRPr="00E36361" w:rsidRDefault="00E36361" w:rsidP="00E36361">
      <w:pPr>
        <w:rPr>
          <w:rFonts w:ascii="Arial" w:hAnsi="Arial" w:cs="Arial"/>
        </w:rPr>
      </w:pPr>
    </w:p>
    <w:sectPr w:rsidR="00E36361" w:rsidRPr="00E36361" w:rsidSect="0045003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01B9"/>
    <w:rsid w:val="000150F3"/>
    <w:rsid w:val="00064042"/>
    <w:rsid w:val="000B28A6"/>
    <w:rsid w:val="000C0D06"/>
    <w:rsid w:val="000C2761"/>
    <w:rsid w:val="00171147"/>
    <w:rsid w:val="001A5EF5"/>
    <w:rsid w:val="002B71B4"/>
    <w:rsid w:val="002E0F62"/>
    <w:rsid w:val="002E4A27"/>
    <w:rsid w:val="00305988"/>
    <w:rsid w:val="00395550"/>
    <w:rsid w:val="004138DC"/>
    <w:rsid w:val="00450037"/>
    <w:rsid w:val="0047703B"/>
    <w:rsid w:val="005157FB"/>
    <w:rsid w:val="00555FD1"/>
    <w:rsid w:val="00565FC1"/>
    <w:rsid w:val="005D29C5"/>
    <w:rsid w:val="006213CC"/>
    <w:rsid w:val="0068120A"/>
    <w:rsid w:val="006B38A9"/>
    <w:rsid w:val="007E04F7"/>
    <w:rsid w:val="007E224F"/>
    <w:rsid w:val="00805A2E"/>
    <w:rsid w:val="00854627"/>
    <w:rsid w:val="00897129"/>
    <w:rsid w:val="008A0A40"/>
    <w:rsid w:val="008D19C8"/>
    <w:rsid w:val="008E3B98"/>
    <w:rsid w:val="00923682"/>
    <w:rsid w:val="009A5359"/>
    <w:rsid w:val="009B33F7"/>
    <w:rsid w:val="009D774A"/>
    <w:rsid w:val="009E2776"/>
    <w:rsid w:val="00A701B9"/>
    <w:rsid w:val="00AB150D"/>
    <w:rsid w:val="00AC3D7C"/>
    <w:rsid w:val="00B55D80"/>
    <w:rsid w:val="00BB2D2E"/>
    <w:rsid w:val="00BC47C7"/>
    <w:rsid w:val="00BC6224"/>
    <w:rsid w:val="00C67CB3"/>
    <w:rsid w:val="00CB51A2"/>
    <w:rsid w:val="00CC2F29"/>
    <w:rsid w:val="00D5662D"/>
    <w:rsid w:val="00D711C5"/>
    <w:rsid w:val="00DC2707"/>
    <w:rsid w:val="00DE421D"/>
    <w:rsid w:val="00E36361"/>
    <w:rsid w:val="00E40FD1"/>
    <w:rsid w:val="00E4208C"/>
    <w:rsid w:val="00EB21F2"/>
    <w:rsid w:val="00EC1B51"/>
    <w:rsid w:val="00F0491D"/>
    <w:rsid w:val="00FC6C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FED87AA"/>
  <w15:chartTrackingRefBased/>
  <w15:docId w15:val="{5227BD84-56FD-44A5-9EE7-7B3699F86E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701B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47703B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3636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36361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39"/>
    <w:rsid w:val="007E224F"/>
    <w:pPr>
      <w:spacing w:after="0" w:line="240" w:lineRule="auto"/>
    </w:pPr>
    <w:rPr>
      <w:rFonts w:ascii="Arial" w:hAnsi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485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40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62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12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06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58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3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8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84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932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2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183</Words>
  <Characters>1046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Kangho</dc:creator>
  <cp:keywords/>
  <dc:description/>
  <cp:lastModifiedBy>Kerstin Wright</cp:lastModifiedBy>
  <cp:revision>2</cp:revision>
  <dcterms:created xsi:type="dcterms:W3CDTF">2022-08-22T08:44:00Z</dcterms:created>
  <dcterms:modified xsi:type="dcterms:W3CDTF">2022-08-22T08:44:00Z</dcterms:modified>
</cp:coreProperties>
</file>